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8" w:rsidRPr="00CF4DE6" w:rsidRDefault="005F6C38" w:rsidP="005F6C38">
      <w:pPr>
        <w:ind w:left="0" w:firstLine="0"/>
        <w:rPr>
          <w:b/>
          <w:sz w:val="40"/>
          <w:szCs w:val="40"/>
          <w:lang/>
        </w:rPr>
      </w:pPr>
      <w:r w:rsidRPr="00CF4DE6">
        <w:rPr>
          <w:b/>
          <w:sz w:val="40"/>
          <w:szCs w:val="40"/>
        </w:rPr>
        <w:t xml:space="preserve">Support </w:t>
      </w:r>
      <w:r w:rsidR="000A3CC5">
        <w:rPr>
          <w:b/>
          <w:sz w:val="40"/>
          <w:szCs w:val="40"/>
        </w:rPr>
        <w:t xml:space="preserve">&amp; guidance </w:t>
      </w:r>
      <w:r w:rsidRPr="00CF4DE6">
        <w:rPr>
          <w:b/>
          <w:sz w:val="40"/>
          <w:szCs w:val="40"/>
        </w:rPr>
        <w:t xml:space="preserve">for </w:t>
      </w:r>
      <w:r w:rsidRPr="00CF4DE6">
        <w:rPr>
          <w:b/>
          <w:sz w:val="40"/>
          <w:szCs w:val="40"/>
          <w:lang/>
        </w:rPr>
        <w:t>the special educational needs and disabilities inquiry written submission form.</w:t>
      </w:r>
    </w:p>
    <w:p w:rsidR="005F6C38" w:rsidRPr="00CF4DE6" w:rsidRDefault="005F6C38">
      <w:pPr>
        <w:rPr>
          <w:lang/>
        </w:rPr>
      </w:pPr>
    </w:p>
    <w:p w:rsidR="005F6C38" w:rsidRPr="00B90388" w:rsidRDefault="00B90388" w:rsidP="005F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B90388">
        <w:rPr>
          <w:lang/>
        </w:rPr>
        <w:t>U</w:t>
      </w:r>
      <w:r w:rsidR="005F6C38" w:rsidRPr="00B90388">
        <w:rPr>
          <w:lang/>
        </w:rPr>
        <w:t xml:space="preserve">se this link to upload your submission </w:t>
      </w:r>
      <w:hyperlink r:id="rId7" w:history="1">
        <w:r w:rsidR="005F6C38" w:rsidRPr="00B90388">
          <w:rPr>
            <w:rStyle w:val="Hyperlink"/>
            <w:lang/>
          </w:rPr>
          <w:t>https://www.parliament.uk/business/committees/committees-a-z/commons-select/education-committee/inquiries/parliament-2017/special-educational-needs-and-disability-inquiry-17-19/commons-written-submission-form/</w:t>
        </w:r>
      </w:hyperlink>
      <w:r w:rsidRPr="00B90388">
        <w:rPr>
          <w:lang/>
        </w:rPr>
        <w:t>.</w:t>
      </w:r>
    </w:p>
    <w:p w:rsidR="005F6C38" w:rsidRPr="00B90388" w:rsidRDefault="005F6C38" w:rsidP="005F6C38">
      <w:pPr>
        <w:spacing w:before="100" w:beforeAutospacing="1" w:after="100" w:afterAutospacing="1"/>
        <w:ind w:left="0" w:firstLine="0"/>
        <w:rPr>
          <w:rFonts w:eastAsia="Times New Roman" w:cs="Times New Roman"/>
          <w:u w:val="single"/>
          <w:lang w:eastAsia="en-GB"/>
        </w:rPr>
      </w:pPr>
      <w:r w:rsidRPr="00B90388">
        <w:rPr>
          <w:rFonts w:eastAsia="Times New Roman" w:cs="Times New Roman"/>
          <w:u w:val="single"/>
          <w:lang w:eastAsia="en-GB"/>
        </w:rPr>
        <w:t xml:space="preserve">Advice and guidance (read </w:t>
      </w:r>
      <w:r w:rsidR="00CF4DE6" w:rsidRPr="00B90388">
        <w:rPr>
          <w:rFonts w:eastAsia="Times New Roman" w:cs="Times New Roman"/>
          <w:u w:val="single"/>
          <w:lang w:eastAsia="en-GB"/>
        </w:rPr>
        <w:t xml:space="preserve">this </w:t>
      </w:r>
      <w:r w:rsidRPr="00B90388">
        <w:rPr>
          <w:rFonts w:eastAsia="Times New Roman" w:cs="Times New Roman"/>
          <w:u w:val="single"/>
          <w:lang w:eastAsia="en-GB"/>
        </w:rPr>
        <w:t>first)</w:t>
      </w:r>
    </w:p>
    <w:p w:rsidR="005F6C38" w:rsidRPr="005F6C38" w:rsidRDefault="005F6C38" w:rsidP="005F6C38">
      <w:pPr>
        <w:spacing w:before="100" w:beforeAutospacing="1" w:after="100" w:afterAutospacing="1"/>
        <w:ind w:left="0" w:firstLine="0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To successfully make a submission via the online form on a committee’s website, documents need to:</w:t>
      </w:r>
    </w:p>
    <w:p w:rsidR="005F6C38" w:rsidRPr="005F6C38" w:rsidRDefault="005F6C38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Be less than 25 MB in size</w:t>
      </w:r>
    </w:p>
    <w:p w:rsidR="005F6C38" w:rsidRPr="005F6C38" w:rsidRDefault="005F6C38" w:rsidP="00300F0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Be in Word (doc, docx, rtf, txt ooxml or odt format, not PDF)</w:t>
      </w:r>
    </w:p>
    <w:p w:rsidR="005F6C38" w:rsidRPr="005F6C38" w:rsidRDefault="005F6C38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Contain as few logos or embedded pictures as possible</w:t>
      </w:r>
    </w:p>
    <w:p w:rsidR="005F6C38" w:rsidRPr="005F6C38" w:rsidRDefault="005F6C38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Contain no macros</w:t>
      </w:r>
    </w:p>
    <w:p w:rsidR="005F6C38" w:rsidRPr="005F6C38" w:rsidRDefault="005F6C38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Comprise a single document. If there are any annexes or appendices, these should be included in the same document.</w:t>
      </w:r>
    </w:p>
    <w:p w:rsidR="00E90F1F" w:rsidRPr="00B90388" w:rsidRDefault="00E90F1F" w:rsidP="00CF4DE6">
      <w:pPr>
        <w:rPr>
          <w:u w:val="single"/>
        </w:rPr>
      </w:pPr>
      <w:r w:rsidRPr="00B90388">
        <w:rPr>
          <w:u w:val="single"/>
        </w:rPr>
        <w:t>Specific guidance</w:t>
      </w:r>
      <w:r w:rsidR="00CF4DE6" w:rsidRPr="00B90388">
        <w:rPr>
          <w:u w:val="single"/>
        </w:rPr>
        <w:t xml:space="preserve"> (read this second)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State clearly who the submission is from, i.e. whether from yourself in a personal capacity or sent on behalf of an organisation, for example the submission could be headed ‘Written evidence submitted by xxxxxx’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Be concise – we recommend no m</w:t>
      </w:r>
      <w:r w:rsidR="00D14064" w:rsidRPr="00B90388">
        <w:rPr>
          <w:rFonts w:eastAsia="Times New Roman" w:cs="Times New Roman"/>
          <w:lang w:eastAsia="en-GB"/>
        </w:rPr>
        <w:t>ore than 3,000 words in length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Begin with an executive summary in bullet point form of the main points made in the submission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Include a brief introduction about yourself/your organisation and your reason for submitting evidence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Have numbered paragraphs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Include any factual information you have to offer from which the committee might be able to draw conclusions, or which could be put to other witnesses for their reactions</w:t>
      </w:r>
    </w:p>
    <w:p w:rsidR="00D14064" w:rsidRPr="00B90388" w:rsidRDefault="00E90F1F" w:rsidP="0045396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Include any recommendations for action by the Government or others which you would like the committee to consider</w:t>
      </w:r>
    </w:p>
    <w:p w:rsidR="009F29CD" w:rsidRPr="00B90388" w:rsidRDefault="000F1FF1">
      <w:pPr>
        <w:rPr>
          <w:u w:val="single"/>
        </w:rPr>
      </w:pPr>
      <w:r w:rsidRPr="00B90388">
        <w:rPr>
          <w:u w:val="single"/>
        </w:rPr>
        <w:t>VERY IMPORTANT</w:t>
      </w:r>
    </w:p>
    <w:p w:rsidR="000F1FF1" w:rsidRPr="00B90388" w:rsidRDefault="000F1FF1">
      <w:pPr>
        <w:rPr>
          <w:u w:val="single"/>
        </w:rPr>
      </w:pP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All submissions will be published and searchable on the internet, be careful what you write as it will be publically available.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Do not comment on existing legal/tribunal cases.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Each submission should ne newly written material, i.e. not published elsewhere.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References can be made, preferable through hyperlinks in the test.</w:t>
      </w:r>
    </w:p>
    <w:p w:rsidR="00453968" w:rsidRPr="00B90388" w:rsidRDefault="00453968" w:rsidP="000F1FF1">
      <w:pPr>
        <w:pStyle w:val="ListParagraph"/>
        <w:numPr>
          <w:ilvl w:val="0"/>
          <w:numId w:val="4"/>
        </w:numPr>
      </w:pPr>
      <w:r w:rsidRPr="00B90388">
        <w:rPr>
          <w:lang/>
        </w:rPr>
        <w:t xml:space="preserve">Once submitted, no public use should be made of any submission prepared specifically for the committee unless you have first obtained permission from the clerk of the committee. </w:t>
      </w:r>
    </w:p>
    <w:p w:rsidR="000F1FF1" w:rsidRPr="00B90388" w:rsidRDefault="00453968" w:rsidP="000F1FF1">
      <w:pPr>
        <w:pStyle w:val="ListParagraph"/>
        <w:numPr>
          <w:ilvl w:val="0"/>
          <w:numId w:val="4"/>
        </w:numPr>
      </w:pPr>
      <w:r w:rsidRPr="00B90388">
        <w:rPr>
          <w:lang/>
        </w:rPr>
        <w:t>If you are given permission by the committee to publish your evidence separately, you should be aware that you will be legally responsible for its content.</w:t>
      </w:r>
    </w:p>
    <w:p w:rsidR="009F29CD" w:rsidRPr="00B90388" w:rsidRDefault="009F29CD">
      <w:pPr>
        <w:rPr>
          <w:u w:val="single"/>
        </w:rPr>
      </w:pPr>
    </w:p>
    <w:p w:rsidR="008305EA" w:rsidRPr="00B90388" w:rsidRDefault="00B90388" w:rsidP="0083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B90388">
        <w:rPr>
          <w:lang/>
        </w:rPr>
        <w:t>U</w:t>
      </w:r>
      <w:r w:rsidR="008305EA" w:rsidRPr="00B90388">
        <w:rPr>
          <w:lang/>
        </w:rPr>
        <w:t xml:space="preserve">se this link to upload your submission </w:t>
      </w:r>
      <w:hyperlink r:id="rId8" w:history="1">
        <w:r w:rsidR="008305EA" w:rsidRPr="00B90388">
          <w:rPr>
            <w:rStyle w:val="Hyperlink"/>
            <w:lang/>
          </w:rPr>
          <w:t>https://www.parliament.uk/business/committees/committees-a-z/commons-select/education-committee/inquiries/parliament-2017/special-educational-needs-and-disability-inquiry-17-19/commons-written-submission-form/</w:t>
        </w:r>
      </w:hyperlink>
      <w:r w:rsidRPr="00B90388">
        <w:rPr>
          <w:lang/>
        </w:rPr>
        <w:t>.</w:t>
      </w:r>
    </w:p>
    <w:p w:rsidR="009F29CD" w:rsidRPr="009F2966" w:rsidRDefault="009F29CD">
      <w:pPr>
        <w:rPr>
          <w:sz w:val="20"/>
          <w:szCs w:val="20"/>
          <w:u w:val="single"/>
        </w:rPr>
      </w:pPr>
    </w:p>
    <w:p w:rsidR="00B90388" w:rsidRDefault="00B90388">
      <w:pPr>
        <w:rPr>
          <w:u w:val="single"/>
        </w:rPr>
      </w:pPr>
      <w:r>
        <w:rPr>
          <w:u w:val="single"/>
        </w:rPr>
        <w:t>Personal Advice</w:t>
      </w:r>
    </w:p>
    <w:p w:rsidR="00B90388" w:rsidRPr="00106684" w:rsidRDefault="00B90388">
      <w:pPr>
        <w:rPr>
          <w:sz w:val="20"/>
          <w:szCs w:val="20"/>
          <w:u w:val="single"/>
        </w:rPr>
      </w:pPr>
    </w:p>
    <w:p w:rsidR="00B90388" w:rsidRDefault="00B90388" w:rsidP="00B90388">
      <w:pPr>
        <w:pStyle w:val="ListParagraph"/>
        <w:numPr>
          <w:ilvl w:val="0"/>
          <w:numId w:val="11"/>
        </w:numPr>
      </w:pPr>
      <w:r>
        <w:t>Don’t refer to LA/child’s name, this may allow for identification</w:t>
      </w:r>
      <w:r w:rsidR="000A3CC5">
        <w:t xml:space="preserve"> (remember it can be searched for, see above)</w:t>
      </w:r>
    </w:p>
    <w:p w:rsidR="00B90388" w:rsidRPr="00B90388" w:rsidRDefault="00B90388" w:rsidP="00B90388">
      <w:pPr>
        <w:pStyle w:val="ListParagraph"/>
        <w:numPr>
          <w:ilvl w:val="0"/>
          <w:numId w:val="11"/>
        </w:numPr>
      </w:pPr>
      <w:r>
        <w:t xml:space="preserve">Keep </w:t>
      </w:r>
      <w:r w:rsidR="009F2966">
        <w:t>it</w:t>
      </w:r>
      <w:r>
        <w:t xml:space="preserve"> succinct </w:t>
      </w:r>
      <w:r>
        <w:rPr>
          <w:rFonts w:eastAsia="Times New Roman"/>
        </w:rPr>
        <w:t>e.g. ‘failed to carry out assessment’ rather than ‘initially I tried X, then Y, LA said Z’</w:t>
      </w:r>
    </w:p>
    <w:p w:rsidR="00B90388" w:rsidRPr="00940EE5" w:rsidRDefault="00106684" w:rsidP="00B90388">
      <w:pPr>
        <w:pStyle w:val="ListParagraph"/>
        <w:numPr>
          <w:ilvl w:val="0"/>
          <w:numId w:val="11"/>
        </w:numPr>
      </w:pPr>
      <w:r>
        <w:rPr>
          <w:rFonts w:eastAsia="Times New Roman"/>
        </w:rPr>
        <w:t xml:space="preserve">If some sections </w:t>
      </w:r>
      <w:r w:rsidR="00FA1532">
        <w:rPr>
          <w:rFonts w:eastAsia="Times New Roman"/>
        </w:rPr>
        <w:t xml:space="preserve">are </w:t>
      </w:r>
      <w:r>
        <w:rPr>
          <w:rFonts w:eastAsia="Times New Roman"/>
        </w:rPr>
        <w:t>not relevant just write ‘not relevant/no experience’</w:t>
      </w:r>
      <w:r w:rsidR="00940EE5">
        <w:rPr>
          <w:rFonts w:eastAsia="Times New Roman"/>
        </w:rPr>
        <w:t xml:space="preserve"> in that section</w:t>
      </w:r>
    </w:p>
    <w:p w:rsidR="00940EE5" w:rsidRDefault="00300F01" w:rsidP="00B90388">
      <w:pPr>
        <w:pStyle w:val="ListParagraph"/>
        <w:numPr>
          <w:ilvl w:val="0"/>
          <w:numId w:val="11"/>
        </w:numPr>
      </w:pPr>
      <w:r>
        <w:t>If you aim for 400-500 words for each of the five sections this may</w:t>
      </w:r>
      <w:r w:rsidR="00FA1532">
        <w:t xml:space="preserve"> help structuring your response</w:t>
      </w:r>
    </w:p>
    <w:p w:rsidR="00300F01" w:rsidRPr="00B90388" w:rsidRDefault="00300F01" w:rsidP="00B90388">
      <w:pPr>
        <w:pStyle w:val="ListParagraph"/>
        <w:numPr>
          <w:ilvl w:val="0"/>
          <w:numId w:val="11"/>
        </w:numPr>
      </w:pPr>
      <w:r>
        <w:t>Good luck!</w:t>
      </w:r>
    </w:p>
    <w:p w:rsidR="00D14064" w:rsidRPr="00EC09C5" w:rsidRDefault="00D14064" w:rsidP="00106684">
      <w:pPr>
        <w:ind w:left="0" w:firstLine="0"/>
        <w:rPr>
          <w:sz w:val="28"/>
          <w:szCs w:val="28"/>
          <w:u w:val="single"/>
        </w:rPr>
      </w:pPr>
      <w:r w:rsidRPr="00EC09C5">
        <w:rPr>
          <w:sz w:val="28"/>
          <w:szCs w:val="28"/>
          <w:u w:val="single"/>
        </w:rPr>
        <w:lastRenderedPageBreak/>
        <w:t>Template to use/amend</w:t>
      </w:r>
    </w:p>
    <w:p w:rsidR="00D14064" w:rsidRPr="00CF4DE6" w:rsidRDefault="00D14064">
      <w:pPr>
        <w:rPr>
          <w:sz w:val="24"/>
          <w:szCs w:val="24"/>
        </w:rPr>
      </w:pPr>
    </w:p>
    <w:p w:rsidR="00D14064" w:rsidRPr="008305EA" w:rsidRDefault="00D14064" w:rsidP="00317947">
      <w:pPr>
        <w:ind w:left="0" w:firstLine="0"/>
      </w:pPr>
      <w:r w:rsidRPr="008305EA">
        <w:t>Written evidence for the special educational needs and disabilities inqui</w:t>
      </w:r>
      <w:r w:rsidR="00EC09C5" w:rsidRPr="008305EA">
        <w:t>re submitted by XXXX on XX.XX.</w:t>
      </w:r>
      <w:r w:rsidRPr="008305EA">
        <w:t>18.</w:t>
      </w:r>
    </w:p>
    <w:p w:rsidR="00D14064" w:rsidRPr="008305EA" w:rsidRDefault="00D14064"/>
    <w:p w:rsidR="00D14064" w:rsidRPr="008305EA" w:rsidRDefault="00D14064">
      <w:pPr>
        <w:rPr>
          <w:b/>
        </w:rPr>
      </w:pPr>
      <w:r w:rsidRPr="008305EA">
        <w:rPr>
          <w:b/>
        </w:rPr>
        <w:t>Executive Summary</w:t>
      </w:r>
    </w:p>
    <w:p w:rsidR="00D14064" w:rsidRPr="008305EA" w:rsidRDefault="00D14064">
      <w:pPr>
        <w:rPr>
          <w:color w:val="FF0000"/>
          <w:sz w:val="16"/>
          <w:szCs w:val="16"/>
        </w:rPr>
      </w:pPr>
    </w:p>
    <w:p w:rsidR="00D14064" w:rsidRPr="008305EA" w:rsidRDefault="008A23A8" w:rsidP="00650576">
      <w:pPr>
        <w:ind w:left="0" w:firstLine="0"/>
        <w:rPr>
          <w:color w:val="FF0000"/>
        </w:rPr>
      </w:pPr>
      <w:r w:rsidRPr="008305EA">
        <w:rPr>
          <w:color w:val="FF0000"/>
        </w:rPr>
        <w:t>Start with a short introduction about yourself</w:t>
      </w:r>
      <w:r w:rsidR="00EC09C5" w:rsidRPr="008305EA">
        <w:rPr>
          <w:color w:val="FF0000"/>
        </w:rPr>
        <w:t xml:space="preserve">/your organisation and why you </w:t>
      </w:r>
      <w:r w:rsidRPr="008305EA">
        <w:rPr>
          <w:color w:val="FF0000"/>
        </w:rPr>
        <w:t>are submitting evidence (don’t use up too many words here, keep this brief)</w:t>
      </w:r>
      <w:r w:rsidR="00650576" w:rsidRPr="008305EA">
        <w:rPr>
          <w:color w:val="FF0000"/>
        </w:rPr>
        <w:t>.</w:t>
      </w:r>
      <w:r w:rsidR="00EC09C5" w:rsidRPr="008305EA">
        <w:rPr>
          <w:color w:val="FF0000"/>
        </w:rPr>
        <w:t xml:space="preserve">  </w:t>
      </w:r>
      <w:r w:rsidR="00D14064" w:rsidRPr="008305EA">
        <w:rPr>
          <w:color w:val="FF0000"/>
        </w:rPr>
        <w:t>Add key bullet points from the main body of your submission (fill this in last after the main part is written)</w:t>
      </w:r>
      <w:r w:rsidR="00650576" w:rsidRPr="008305EA">
        <w:rPr>
          <w:color w:val="FF0000"/>
        </w:rPr>
        <w:t xml:space="preserve"> link these to the 5 headings for the inquiry (see below).</w:t>
      </w:r>
    </w:p>
    <w:p w:rsidR="00D14064" w:rsidRPr="008305EA" w:rsidRDefault="00D14064">
      <w:pPr>
        <w:rPr>
          <w:color w:val="FF0000"/>
        </w:rPr>
      </w:pP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9F29CD" w:rsidRPr="008305EA" w:rsidRDefault="009F29CD" w:rsidP="009F29CD"/>
    <w:p w:rsidR="009F29CD" w:rsidRPr="008305EA" w:rsidRDefault="009F29CD" w:rsidP="009F29CD">
      <w:pPr>
        <w:rPr>
          <w:b/>
        </w:rPr>
      </w:pPr>
      <w:r w:rsidRPr="008305EA">
        <w:rPr>
          <w:b/>
        </w:rPr>
        <w:t>Main Submission</w:t>
      </w:r>
    </w:p>
    <w:p w:rsidR="009F29CD" w:rsidRPr="008305EA" w:rsidRDefault="009F29CD" w:rsidP="009F29CD">
      <w:pPr>
        <w:rPr>
          <w:sz w:val="16"/>
          <w:szCs w:val="16"/>
        </w:rPr>
      </w:pPr>
    </w:p>
    <w:p w:rsidR="00517453" w:rsidRPr="008305EA" w:rsidRDefault="009F29CD" w:rsidP="00EC09C5">
      <w:pPr>
        <w:ind w:left="0" w:firstLine="0"/>
        <w:rPr>
          <w:color w:val="FF0000"/>
        </w:rPr>
      </w:pPr>
      <w:r w:rsidRPr="008305EA">
        <w:rPr>
          <w:color w:val="FF0000"/>
        </w:rPr>
        <w:t xml:space="preserve">Number the </w:t>
      </w:r>
      <w:r w:rsidR="00CF4DE6" w:rsidRPr="008305EA">
        <w:rPr>
          <w:color w:val="FF0000"/>
        </w:rPr>
        <w:t>paragraphs;</w:t>
      </w:r>
      <w:r w:rsidRPr="008305EA">
        <w:rPr>
          <w:color w:val="FF0000"/>
        </w:rPr>
        <w:t xml:space="preserve"> keep each paragraph succinct and factual.</w:t>
      </w:r>
      <w:r w:rsidR="00EC09C5" w:rsidRPr="008305EA">
        <w:rPr>
          <w:color w:val="FF0000"/>
        </w:rPr>
        <w:t xml:space="preserve">  </w:t>
      </w:r>
      <w:r w:rsidR="00517453" w:rsidRPr="008305EA">
        <w:rPr>
          <w:color w:val="FF0000"/>
        </w:rPr>
        <w:t>We have prepared and numbered the key areas of the inquiry, each section can then have separate numbers for your specific comments/points.</w:t>
      </w:r>
    </w:p>
    <w:p w:rsidR="00517453" w:rsidRPr="008305EA" w:rsidRDefault="00B16848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assessment of and support for children and young people with SEND</w:t>
      </w:r>
    </w:p>
    <w:p w:rsidR="00517453" w:rsidRPr="008305EA" w:rsidRDefault="00517453" w:rsidP="00517453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B16848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transition from statements of special educational needs and learning disability assessments to education, health and care plans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517453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B1684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B16848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level and distribution of funding for SEND provision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left="360" w:firstLine="0"/>
        <w:rPr>
          <w:rFonts w:eastAsia="Times New Roman" w:cs="Arial"/>
          <w:lang w:eastAsia="en-GB"/>
        </w:rPr>
      </w:pPr>
    </w:p>
    <w:p w:rsidR="00517453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roles of and co-operation between education, health and social care sectors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2F0160" w:rsidP="002F0160">
      <w:pPr>
        <w:spacing w:before="100" w:beforeAutospacing="1" w:after="100" w:afterAutospacing="1"/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5.1 P</w:t>
      </w:r>
      <w:r w:rsidR="00517453" w:rsidRPr="00517453">
        <w:rPr>
          <w:rFonts w:eastAsia="Times New Roman" w:cs="Arial"/>
          <w:lang w:eastAsia="en-GB"/>
        </w:rPr>
        <w:t>rovision for 19-25-year olds including support for independent living; transition to adult services; and access to educ</w:t>
      </w:r>
      <w:r w:rsidRPr="008305EA">
        <w:rPr>
          <w:rFonts w:eastAsia="Times New Roman" w:cs="Arial"/>
          <w:lang w:eastAsia="en-GB"/>
        </w:rPr>
        <w:t>ation, apprenticeships and work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5.2 XX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5.3 XX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5.4 XX</w:t>
      </w:r>
    </w:p>
    <w:p w:rsidR="009F29CD" w:rsidRPr="008305EA" w:rsidRDefault="009F29CD" w:rsidP="00650576">
      <w:pPr>
        <w:ind w:left="0" w:firstLine="0"/>
        <w:rPr>
          <w:color w:val="FF0000"/>
        </w:rPr>
      </w:pPr>
    </w:p>
    <w:p w:rsidR="009F29CD" w:rsidRPr="008305EA" w:rsidRDefault="009F29CD" w:rsidP="009F29CD">
      <w:pPr>
        <w:rPr>
          <w:b/>
        </w:rPr>
      </w:pPr>
      <w:r w:rsidRPr="008305EA">
        <w:rPr>
          <w:b/>
        </w:rPr>
        <w:t>Recommendations</w:t>
      </w:r>
    </w:p>
    <w:p w:rsidR="009F29CD" w:rsidRPr="008305EA" w:rsidRDefault="009F29CD" w:rsidP="009F29CD">
      <w:pPr>
        <w:rPr>
          <w:color w:val="FF0000"/>
          <w:sz w:val="16"/>
          <w:szCs w:val="16"/>
        </w:rPr>
      </w:pPr>
    </w:p>
    <w:p w:rsidR="009F29CD" w:rsidRPr="008305EA" w:rsidRDefault="009F29CD" w:rsidP="00106684">
      <w:pPr>
        <w:ind w:left="0" w:firstLine="0"/>
        <w:rPr>
          <w:color w:val="FF0000"/>
        </w:rPr>
      </w:pPr>
      <w:r w:rsidRPr="008305EA">
        <w:rPr>
          <w:color w:val="FF0000"/>
        </w:rPr>
        <w:t>Add a list of recommendations that link back to</w:t>
      </w:r>
      <w:r w:rsidR="00106684">
        <w:rPr>
          <w:color w:val="FF0000"/>
        </w:rPr>
        <w:t xml:space="preserve"> your main points in submission, again try to be clear and concise and highlight how these recommendations link to the points raised in the main body of the submission.</w:t>
      </w:r>
    </w:p>
    <w:sectPr w:rsidR="009F29CD" w:rsidRPr="008305EA" w:rsidSect="000A3CC5">
      <w:footerReference w:type="default" r:id="rId9"/>
      <w:pgSz w:w="11906" w:h="16838"/>
      <w:pgMar w:top="680" w:right="680" w:bottom="680" w:left="680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7D" w:rsidRDefault="00EA417D" w:rsidP="004E2B9E">
      <w:r>
        <w:separator/>
      </w:r>
    </w:p>
  </w:endnote>
  <w:endnote w:type="continuationSeparator" w:id="0">
    <w:p w:rsidR="00EA417D" w:rsidRDefault="00EA417D" w:rsidP="004E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9E" w:rsidRDefault="004E2B9E" w:rsidP="00894779">
    <w:pPr>
      <w:pStyle w:val="Footer"/>
      <w:jc w:val="center"/>
    </w:pPr>
    <w:r>
      <w:t>SEND Inquiry Template</w:t>
    </w:r>
    <w:r w:rsidR="00894779">
      <w:t xml:space="preserve"> – FREE to access and use – p</w:t>
    </w:r>
    <w:r>
      <w:t>repared by Claire Ryan &amp;</w:t>
    </w:r>
    <w:r w:rsidR="00894779">
      <w:t xml:space="preserve"> </w:t>
    </w:r>
    <w:r>
      <w:t>Gareth Morewood</w:t>
    </w:r>
    <w:r w:rsidR="00894779">
      <w:t xml:space="preserve"> (22.04.18)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7D" w:rsidRDefault="00EA417D" w:rsidP="004E2B9E">
      <w:r>
        <w:separator/>
      </w:r>
    </w:p>
  </w:footnote>
  <w:footnote w:type="continuationSeparator" w:id="0">
    <w:p w:rsidR="00EA417D" w:rsidRDefault="00EA417D" w:rsidP="004E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A37"/>
    <w:multiLevelType w:val="multilevel"/>
    <w:tmpl w:val="CCEC2E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65AD4"/>
    <w:multiLevelType w:val="hybridMultilevel"/>
    <w:tmpl w:val="872E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7EEA"/>
    <w:multiLevelType w:val="hybridMultilevel"/>
    <w:tmpl w:val="3F10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125"/>
    <w:multiLevelType w:val="multilevel"/>
    <w:tmpl w:val="4000A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5B2250A"/>
    <w:multiLevelType w:val="multilevel"/>
    <w:tmpl w:val="2FC4BB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45853584"/>
    <w:multiLevelType w:val="multilevel"/>
    <w:tmpl w:val="963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01067"/>
    <w:multiLevelType w:val="hybridMultilevel"/>
    <w:tmpl w:val="D156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6A9A"/>
    <w:multiLevelType w:val="multilevel"/>
    <w:tmpl w:val="B48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30AB4"/>
    <w:multiLevelType w:val="multilevel"/>
    <w:tmpl w:val="4DC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40236"/>
    <w:multiLevelType w:val="multilevel"/>
    <w:tmpl w:val="1B6AF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C21AAA"/>
    <w:multiLevelType w:val="multilevel"/>
    <w:tmpl w:val="4000A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C38"/>
    <w:rsid w:val="0001796A"/>
    <w:rsid w:val="000A3CC5"/>
    <w:rsid w:val="000F1FF1"/>
    <w:rsid w:val="00106684"/>
    <w:rsid w:val="00170D95"/>
    <w:rsid w:val="001828B5"/>
    <w:rsid w:val="002D7360"/>
    <w:rsid w:val="002E055F"/>
    <w:rsid w:val="002F0160"/>
    <w:rsid w:val="00300F01"/>
    <w:rsid w:val="00317947"/>
    <w:rsid w:val="00453968"/>
    <w:rsid w:val="004E2B9E"/>
    <w:rsid w:val="004F0B9D"/>
    <w:rsid w:val="00517453"/>
    <w:rsid w:val="005F6C38"/>
    <w:rsid w:val="00650576"/>
    <w:rsid w:val="007027CC"/>
    <w:rsid w:val="008305EA"/>
    <w:rsid w:val="00871FD1"/>
    <w:rsid w:val="00894779"/>
    <w:rsid w:val="008A23A8"/>
    <w:rsid w:val="00940EE5"/>
    <w:rsid w:val="009F2966"/>
    <w:rsid w:val="009F29CD"/>
    <w:rsid w:val="00B16848"/>
    <w:rsid w:val="00B90388"/>
    <w:rsid w:val="00C50472"/>
    <w:rsid w:val="00CC766F"/>
    <w:rsid w:val="00CF4DE6"/>
    <w:rsid w:val="00D14064"/>
    <w:rsid w:val="00DA2FAB"/>
    <w:rsid w:val="00E16552"/>
    <w:rsid w:val="00E90F1F"/>
    <w:rsid w:val="00E96CB6"/>
    <w:rsid w:val="00EA417D"/>
    <w:rsid w:val="00EC09C5"/>
    <w:rsid w:val="00FA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3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6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9E"/>
  </w:style>
  <w:style w:type="paragraph" w:styleId="Footer">
    <w:name w:val="footer"/>
    <w:basedOn w:val="Normal"/>
    <w:link w:val="FooterChar"/>
    <w:uiPriority w:val="99"/>
    <w:semiHidden/>
    <w:unhideWhenUsed/>
    <w:rsid w:val="004E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9E"/>
  </w:style>
  <w:style w:type="paragraph" w:styleId="BalloonText">
    <w:name w:val="Balloon Text"/>
    <w:basedOn w:val="Normal"/>
    <w:link w:val="BalloonTextChar"/>
    <w:uiPriority w:val="99"/>
    <w:semiHidden/>
    <w:unhideWhenUsed/>
    <w:rsid w:val="004E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business/committees/committees-a-z/commons-select/education-committee/inquiries/parliament-2017/special-educational-needs-and-disability-inquiry-17-19/commons-written-submission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liament.uk/business/committees/committees-a-z/commons-select/education-committee/inquiries/parliament-2017/special-educational-needs-and-disability-inquiry-17-19/commons-written-submission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2018-04-22T09:57:00Z</dcterms:created>
  <dcterms:modified xsi:type="dcterms:W3CDTF">2018-04-22T09:57:00Z</dcterms:modified>
</cp:coreProperties>
</file>